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72" w:rsidRPr="004E5772" w:rsidRDefault="004E5772" w:rsidP="004E5772">
      <w:pPr>
        <w:shd w:val="clear" w:color="auto" w:fill="FFFFFF"/>
        <w:spacing w:after="0" w:line="240" w:lineRule="auto"/>
        <w:jc w:val="center"/>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СТАНДАРТ ОБЩЕСТВЕННОГО ОБЪЕДИНЕНИЯ</w:t>
      </w:r>
    </w:p>
    <w:p w:rsidR="004E5772" w:rsidRPr="004E5772" w:rsidRDefault="004E5772" w:rsidP="004E5772">
      <w:pPr>
        <w:shd w:val="clear" w:color="auto" w:fill="FFFFFF"/>
        <w:spacing w:after="0" w:line="240" w:lineRule="auto"/>
        <w:jc w:val="center"/>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НП "РОССИЙСКАЯ ГИЛЬДИЯ РИЭЛТОРОВ"</w:t>
      </w:r>
    </w:p>
    <w:p w:rsidR="004E5772" w:rsidRPr="004E5772" w:rsidRDefault="004E5772" w:rsidP="004E5772">
      <w:pPr>
        <w:shd w:val="clear" w:color="auto" w:fill="FFFFFF"/>
        <w:spacing w:after="0" w:line="240" w:lineRule="auto"/>
        <w:jc w:val="center"/>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0" w:line="240" w:lineRule="auto"/>
        <w:jc w:val="center"/>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ТРЕБОВАНИЯ К ТЕРРИТОРИАЛЬНЫМ ОРГАНАМ</w:t>
      </w:r>
    </w:p>
    <w:p w:rsidR="004E5772" w:rsidRPr="004E5772" w:rsidRDefault="004E5772" w:rsidP="004E5772">
      <w:pPr>
        <w:shd w:val="clear" w:color="auto" w:fill="FFFFFF"/>
        <w:spacing w:after="0" w:line="240" w:lineRule="auto"/>
        <w:jc w:val="center"/>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ПО СЕРТИФИКАЦИИ БРОКЕРСКИХ УСЛУГ</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proofErr w:type="gramStart"/>
      <w:r w:rsidRPr="004E5772">
        <w:rPr>
          <w:rFonts w:ascii="Verdana" w:eastAsia="Times New Roman" w:hAnsi="Verdana" w:cs="Times New Roman"/>
          <w:color w:val="555555"/>
          <w:sz w:val="20"/>
          <w:szCs w:val="20"/>
          <w:lang w:eastAsia="ru-RU"/>
        </w:rPr>
        <w:t>Утвержден</w:t>
      </w:r>
      <w:proofErr w:type="gramEnd"/>
      <w:r w:rsidRPr="004E5772">
        <w:rPr>
          <w:rFonts w:ascii="Verdana" w:eastAsia="Times New Roman" w:hAnsi="Verdana" w:cs="Times New Roman"/>
          <w:color w:val="555555"/>
          <w:sz w:val="20"/>
          <w:szCs w:val="20"/>
          <w:lang w:eastAsia="ru-RU"/>
        </w:rPr>
        <w:t xml:space="preserve"> решением Национального Совета РГР.</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Введен в действие с 11.02.2002 г.</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Изменения и дополнения внесены решением</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Национального Совета РГР от 24.09.2009 г.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16"/>
          <w:szCs w:val="16"/>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Изменения и дополнения внесены решением</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Национального Совета РГР от 04.06.2011 г.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16"/>
          <w:szCs w:val="16"/>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Изменения и дополнения внесены решением</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Национального Совета РГР от 22.09.2012 г.</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Изменения и дополнения внесены решением</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Национального Совета РГР от 14.12.2012 г.</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16"/>
          <w:szCs w:val="16"/>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Изменения и дополнения внесены решением</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Национального Совета РГР от 26.03.2016 г.</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16"/>
          <w:szCs w:val="16"/>
          <w:lang w:eastAsia="ru-RU"/>
        </w:rPr>
        <w:t> </w:t>
      </w: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Изменения и дополнения внесены решением</w:t>
      </w:r>
    </w:p>
    <w:p w:rsidR="004E5772" w:rsidRDefault="004E5772" w:rsidP="004E5772">
      <w:pPr>
        <w:shd w:val="clear" w:color="auto" w:fill="FFFFFF"/>
        <w:spacing w:after="0" w:line="240" w:lineRule="auto"/>
        <w:jc w:val="right"/>
        <w:rPr>
          <w:rFonts w:ascii="Verdana" w:eastAsia="Times New Roman" w:hAnsi="Verdana" w:cs="Times New Roman"/>
          <w:color w:val="555555"/>
          <w:sz w:val="20"/>
          <w:szCs w:val="20"/>
          <w:lang w:eastAsia="ru-RU"/>
        </w:rPr>
      </w:pPr>
      <w:r w:rsidRPr="004E5772">
        <w:rPr>
          <w:rFonts w:ascii="Verdana" w:eastAsia="Times New Roman" w:hAnsi="Verdana" w:cs="Times New Roman"/>
          <w:color w:val="555555"/>
          <w:sz w:val="20"/>
          <w:szCs w:val="20"/>
          <w:lang w:eastAsia="ru-RU"/>
        </w:rPr>
        <w:t>Национального Совета РГР от 16.03.2017 г.</w:t>
      </w:r>
    </w:p>
    <w:p w:rsidR="003208FE" w:rsidRDefault="003208FE" w:rsidP="004E5772">
      <w:pPr>
        <w:shd w:val="clear" w:color="auto" w:fill="FFFFFF"/>
        <w:spacing w:after="0" w:line="240" w:lineRule="auto"/>
        <w:jc w:val="right"/>
        <w:rPr>
          <w:rFonts w:ascii="Verdana" w:eastAsia="Times New Roman" w:hAnsi="Verdana" w:cs="Times New Roman"/>
          <w:color w:val="555555"/>
          <w:sz w:val="20"/>
          <w:szCs w:val="20"/>
          <w:lang w:eastAsia="ru-RU"/>
        </w:rPr>
      </w:pPr>
    </w:p>
    <w:p w:rsidR="003208FE" w:rsidRPr="004E5772" w:rsidRDefault="003208FE" w:rsidP="003208FE">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Изменения и дополнения внесены решением</w:t>
      </w:r>
    </w:p>
    <w:p w:rsidR="003208FE" w:rsidRPr="004E5772" w:rsidRDefault="003208FE" w:rsidP="003208FE">
      <w:pPr>
        <w:shd w:val="clear" w:color="auto" w:fill="FFFFFF"/>
        <w:spacing w:after="0" w:line="240" w:lineRule="auto"/>
        <w:jc w:val="right"/>
        <w:rPr>
          <w:rFonts w:ascii="Helvetica" w:eastAsia="Times New Roman" w:hAnsi="Helvetica" w:cs="Times New Roman"/>
          <w:color w:val="555555"/>
          <w:sz w:val="27"/>
          <w:szCs w:val="27"/>
          <w:lang w:eastAsia="ru-RU"/>
        </w:rPr>
      </w:pPr>
      <w:r>
        <w:rPr>
          <w:rFonts w:ascii="Verdana" w:eastAsia="Times New Roman" w:hAnsi="Verdana" w:cs="Times New Roman"/>
          <w:color w:val="555555"/>
          <w:sz w:val="20"/>
          <w:szCs w:val="20"/>
          <w:lang w:eastAsia="ru-RU"/>
        </w:rPr>
        <w:t>Национального Совета РГР от 08.04.2019</w:t>
      </w:r>
      <w:r w:rsidRPr="004E5772">
        <w:rPr>
          <w:rFonts w:ascii="Verdana" w:eastAsia="Times New Roman" w:hAnsi="Verdana" w:cs="Times New Roman"/>
          <w:color w:val="555555"/>
          <w:sz w:val="20"/>
          <w:szCs w:val="20"/>
          <w:lang w:eastAsia="ru-RU"/>
        </w:rPr>
        <w:t xml:space="preserve"> г.</w:t>
      </w:r>
    </w:p>
    <w:p w:rsidR="003208FE" w:rsidRPr="004E5772" w:rsidRDefault="003208FE" w:rsidP="004E5772">
      <w:pPr>
        <w:shd w:val="clear" w:color="auto" w:fill="FFFFFF"/>
        <w:spacing w:after="0" w:line="240" w:lineRule="auto"/>
        <w:jc w:val="right"/>
        <w:rPr>
          <w:rFonts w:ascii="Helvetica" w:eastAsia="Times New Roman" w:hAnsi="Helvetica" w:cs="Times New Roman"/>
          <w:color w:val="555555"/>
          <w:sz w:val="27"/>
          <w:szCs w:val="27"/>
          <w:lang w:eastAsia="ru-RU"/>
        </w:rPr>
      </w:pPr>
    </w:p>
    <w:p w:rsidR="004E5772" w:rsidRPr="004E5772" w:rsidRDefault="004E5772" w:rsidP="004E5772">
      <w:pPr>
        <w:shd w:val="clear" w:color="auto" w:fill="FFFFFF"/>
        <w:spacing w:after="0" w:line="240" w:lineRule="auto"/>
        <w:jc w:val="right"/>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w:t>
      </w:r>
    </w:p>
    <w:p w:rsidR="004E5772" w:rsidRPr="004E5772" w:rsidRDefault="004E5772" w:rsidP="004E5772">
      <w:pPr>
        <w:shd w:val="clear" w:color="auto" w:fill="FFFFFF"/>
        <w:spacing w:after="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1. ОБЛАСТЬ ПРИМЕНЕНИЯ.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1.1. Настоящий стандарт устанавливает общие требования к Территориальным органам по сертификации брокерских услуг (далее – ТОС), применяемые в Системе добровольной сертификации услуг на рынке недвижимости Российской Федерации.</w:t>
      </w:r>
    </w:p>
    <w:p w:rsidR="004E5772" w:rsidRPr="004E5772" w:rsidRDefault="004E5772" w:rsidP="004E5772">
      <w:pPr>
        <w:shd w:val="clear" w:color="auto" w:fill="FFFFFF"/>
        <w:spacing w:after="0" w:line="240" w:lineRule="auto"/>
        <w:ind w:left="17" w:firstLine="691"/>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1.2. Стандарт применяется Руководящим Органом Системы Сертификации при заключении Договора на выполнение функций ТОС (далее – Договор) с юридическими лицами, в соответствии с требованиями настоящего Стандарта.</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1.3. Стандарт применяется ТОС при создании, заключении договора </w:t>
      </w:r>
      <w:proofErr w:type="gramStart"/>
      <w:r w:rsidRPr="004E5772">
        <w:rPr>
          <w:rFonts w:ascii="Verdana" w:eastAsia="Times New Roman" w:hAnsi="Verdana" w:cs="Times New Roman"/>
          <w:color w:val="555555"/>
          <w:sz w:val="20"/>
          <w:szCs w:val="20"/>
          <w:lang w:eastAsia="ru-RU"/>
        </w:rPr>
        <w:t>с</w:t>
      </w:r>
      <w:proofErr w:type="gramEnd"/>
      <w:r w:rsidRPr="004E5772">
        <w:rPr>
          <w:rFonts w:ascii="Verdana" w:eastAsia="Times New Roman" w:hAnsi="Verdana" w:cs="Times New Roman"/>
          <w:color w:val="555555"/>
          <w:sz w:val="20"/>
          <w:szCs w:val="20"/>
          <w:lang w:eastAsia="ru-RU"/>
        </w:rPr>
        <w:t xml:space="preserve"> РОСС и в дальнейшей их деятельности.</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2. НОРМАТИВНЫЕ ССЫЛКИ.</w:t>
      </w:r>
      <w:r w:rsidRPr="004E5772">
        <w:rPr>
          <w:rFonts w:ascii="Verdana" w:eastAsia="Times New Roman" w:hAnsi="Verdana" w:cs="Times New Roman"/>
          <w:color w:val="555555"/>
          <w:sz w:val="20"/>
          <w:szCs w:val="20"/>
          <w:lang w:eastAsia="ru-RU"/>
        </w:rPr>
        <w:t> </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2.1. В настоящем стандарте использованы ссылки на следующие нормативные документы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СТО РГР «Положение о Системе добровольной сертификации услуг на рынке недвижимости Российской Федерации»;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СТО РГР «Термины и определения»;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СТО РГР «Руководящий Орган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СТО РГР «Положение об Управляющем Совете Руководящего Органа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СТО РГР «Апелляционная комиссия. Общие положения»;</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Положение «О порядке аттестации специалистов рынка недвижимости – агентов и брокеров в рамках Системы добровольной сертификации услуг на рынке недвижимости».</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3. ТЕРМИНЫ И ОПРЕДЕЛЕНИЯ.</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lastRenderedPageBreak/>
        <w:t>3.1. Термины и определения, применяемые в настоящем стандарте, соответствуют СТО РГР «Термины и определения Системы добровольной сертификации».</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4. ЮРИДИЧЕСКИЙ СТАТУС ТЕРРИТОРИАЛЬНОГО ОРГАНА ПО СЕРТИФИКАЦИИ. ПОРЯДОК АККРЕДИТАЦИИ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4.1. В качестве ТОС уполномочена некоммерческая организация, объединяющие профессиональных участников рынка недвижимости входящих в Российскую Гильдию Риэлторов (далее — Ассоциация), прошедшая процедуру аккредитации и имеющая Свидетельство об аккредитации установленного образца.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4.2. Устав Ассоциации должен обеспечивать демократические процедуры управления некоммерческой организацией, выборность и ротацию руководящих и контрольных органов Ассоциации.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4.</w:t>
      </w:r>
      <w:r w:rsidRPr="004E5772">
        <w:rPr>
          <w:rFonts w:ascii="Verdana" w:eastAsia="Times New Roman" w:hAnsi="Verdana" w:cs="Times New Roman"/>
          <w:color w:val="555555"/>
          <w:sz w:val="20"/>
          <w:szCs w:val="20"/>
          <w:lang w:eastAsia="ru-RU"/>
        </w:rPr>
        <w:t>3</w:t>
      </w:r>
      <w:r w:rsidRPr="004E5772">
        <w:rPr>
          <w:rFonts w:ascii="Verdana" w:eastAsia="Times New Roman" w:hAnsi="Verdana" w:cs="Times New Roman"/>
          <w:color w:val="555555"/>
          <w:sz w:val="20"/>
          <w:szCs w:val="20"/>
          <w:lang w:val="x-none" w:eastAsia="ru-RU"/>
        </w:rPr>
        <w:t>. Для прохождения процедуры аккредитации в качестве ТОС, заинтересованное юридическое лицо направляет в РОСС комплект документов в соответствии со следующим перечнем: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Заявка на заключение договора на аккредитацию 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Заполненная анкета о готовности заявителя с обязательным приложением Оценки системы качества Заявителя (форма анкеты устанавливается РОСС и размещается на сайте rgr.ru);</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Приказ о создании и функционировании 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Копия устава и (или) других учредительных документов организации-заявителя (заверенная нотариально или подписью и печатью руководителя Ассоциации).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Положение о Территориальном Органе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Руководство по качеству 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Порядок проведения работ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Положение об Управляющем Совете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Персональный состав (список) Управляющего Совета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Положение о комиссии по разрешению споров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Персональный состав (список) Комиссии по разрешению споров.</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Договор между РГР и ТОС подписанный со стороны ТОС в 2-х экземплярах.</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4.</w:t>
      </w:r>
      <w:r w:rsidRPr="004E5772">
        <w:rPr>
          <w:rFonts w:ascii="Verdana" w:eastAsia="Times New Roman" w:hAnsi="Verdana" w:cs="Times New Roman"/>
          <w:color w:val="555555"/>
          <w:sz w:val="20"/>
          <w:szCs w:val="20"/>
          <w:lang w:eastAsia="ru-RU"/>
        </w:rPr>
        <w:t>4</w:t>
      </w:r>
      <w:r w:rsidRPr="004E5772">
        <w:rPr>
          <w:rFonts w:ascii="Verdana" w:eastAsia="Times New Roman" w:hAnsi="Verdana" w:cs="Times New Roman"/>
          <w:color w:val="555555"/>
          <w:sz w:val="20"/>
          <w:szCs w:val="20"/>
          <w:lang w:val="x-none" w:eastAsia="ru-RU"/>
        </w:rPr>
        <w:t>. РОСС рассматривает, представленный в соответствии с пунктом 4.</w:t>
      </w:r>
      <w:r w:rsidRPr="004E5772">
        <w:rPr>
          <w:rFonts w:ascii="Verdana" w:eastAsia="Times New Roman" w:hAnsi="Verdana" w:cs="Times New Roman"/>
          <w:color w:val="555555"/>
          <w:sz w:val="20"/>
          <w:szCs w:val="20"/>
          <w:lang w:eastAsia="ru-RU"/>
        </w:rPr>
        <w:t>3</w:t>
      </w:r>
      <w:r w:rsidRPr="004E5772">
        <w:rPr>
          <w:rFonts w:ascii="Verdana" w:eastAsia="Times New Roman" w:hAnsi="Verdana" w:cs="Times New Roman"/>
          <w:color w:val="555555"/>
          <w:sz w:val="20"/>
          <w:szCs w:val="20"/>
          <w:lang w:val="x-none" w:eastAsia="ru-RU"/>
        </w:rPr>
        <w:t> комплект документов, и в срок не позднее, чем через 7 дней уведомляет заявителя о соответствии комплектности и содержания представленных документов требованиям нормативных документов Системы и направляет в адрес заявителя соответствующие замечания (при их наличии). При отсутствии замечаний по комплектности и содержанию представленных документов РОСС, в указанный в данном пункте срок, уведомляет заявителя о дате рассмотрения вопроса об аккредитации заявителя в качестве ТОС Управляющим советом РОСС. Дата рассмотрения вопроса об аккредитации заявителя в качестве ТОС устанавливается РОСС в срок не позднее 30 дней с момента направления уведомления о соответствии комплекта документов требованиям нормативных документов Системы для целей аккредитации.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xml:space="preserve">4.5. Для прохождения процедуры аккредитации в качестве ТОС, заинтересованное юридическое лицо направляет </w:t>
      </w:r>
      <w:proofErr w:type="gramStart"/>
      <w:r w:rsidRPr="004E5772">
        <w:rPr>
          <w:rFonts w:ascii="Times New Roman" w:eastAsia="Times New Roman" w:hAnsi="Times New Roman" w:cs="Times New Roman"/>
          <w:color w:val="555555"/>
          <w:sz w:val="24"/>
          <w:szCs w:val="24"/>
          <w:lang w:eastAsia="ru-RU"/>
        </w:rPr>
        <w:t>в</w:t>
      </w:r>
      <w:proofErr w:type="gramEnd"/>
      <w:r w:rsidRPr="004E5772">
        <w:rPr>
          <w:rFonts w:ascii="Times New Roman" w:eastAsia="Times New Roman" w:hAnsi="Times New Roman" w:cs="Times New Roman"/>
          <w:color w:val="555555"/>
          <w:sz w:val="24"/>
          <w:szCs w:val="24"/>
          <w:lang w:eastAsia="ru-RU"/>
        </w:rPr>
        <w:t xml:space="preserve"> </w:t>
      </w:r>
      <w:proofErr w:type="gramStart"/>
      <w:r w:rsidRPr="004E5772">
        <w:rPr>
          <w:rFonts w:ascii="Times New Roman" w:eastAsia="Times New Roman" w:hAnsi="Times New Roman" w:cs="Times New Roman"/>
          <w:color w:val="555555"/>
          <w:sz w:val="24"/>
          <w:szCs w:val="24"/>
          <w:lang w:eastAsia="ru-RU"/>
        </w:rPr>
        <w:t>РОСС</w:t>
      </w:r>
      <w:proofErr w:type="gramEnd"/>
      <w:r w:rsidRPr="004E5772">
        <w:rPr>
          <w:rFonts w:ascii="Times New Roman" w:eastAsia="Times New Roman" w:hAnsi="Times New Roman" w:cs="Times New Roman"/>
          <w:color w:val="555555"/>
          <w:sz w:val="24"/>
          <w:szCs w:val="24"/>
          <w:lang w:eastAsia="ru-RU"/>
        </w:rPr>
        <w:t xml:space="preserve"> комплект документов в соответствии со следующим перечнем: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Заявка на заключение договора на аккредитацию 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Заполненная анкета о готовности заявителя с обязательным приложением Оценки системы качества Заявителя (форма анкеты устанавливается РОСС и размещается на сайте rgr.ru);</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Приказ о создании и функционировании 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Копия устава и (или) других учредительных документов организации-заявителя (заверенная нотариально или подписью и печатью руководителя Ассоциации).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lastRenderedPageBreak/>
        <w:t>- Положение о Территориальном Органе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Руководство по качеству 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Порядок проведения работ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Положение об Управляющем Совете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Персональный состав (список) Управляющего Совета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Положение о комиссии по разрешению споров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Персональный состав (список) Комиссии по разрешению споров.</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 Договор между РГР и ТОС подписанный со стороны ТОС в 2-х экземплярах.</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Times New Roman" w:eastAsia="Times New Roman" w:hAnsi="Times New Roman" w:cs="Times New Roman"/>
          <w:color w:val="555555"/>
          <w:sz w:val="24"/>
          <w:szCs w:val="24"/>
          <w:lang w:eastAsia="ru-RU"/>
        </w:rPr>
        <w:t>4.6. РОСС рассматривает, представленный в соответствии с пунктом 4.5 комплект документов, и в срок не позднее, чем через 7 дней уведомляет заявителя о соответствии комплектности и содержания представленных документов требованиям нормативных документов Системы и направляет в адрес заявителя соответствующие замечания (при их наличии). При отсутствии замечаний по комплектности и содержанию представленных документов РОСС, в указанный в данном пункте срок, уведомляет заявителя о дате рассмотрения вопроса об аккредитации заявителя в качестве ТОС Управляющим советом РОСС. Дата рассмотрения вопроса об аккредитации заявителя в качестве ТОС устанавливается РО</w:t>
      </w:r>
      <w:proofErr w:type="gramStart"/>
      <w:r w:rsidRPr="004E5772">
        <w:rPr>
          <w:rFonts w:ascii="Times New Roman" w:eastAsia="Times New Roman" w:hAnsi="Times New Roman" w:cs="Times New Roman"/>
          <w:color w:val="555555"/>
          <w:sz w:val="24"/>
          <w:szCs w:val="24"/>
          <w:lang w:eastAsia="ru-RU"/>
        </w:rPr>
        <w:t>СС в ср</w:t>
      </w:r>
      <w:proofErr w:type="gramEnd"/>
      <w:r w:rsidRPr="004E5772">
        <w:rPr>
          <w:rFonts w:ascii="Times New Roman" w:eastAsia="Times New Roman" w:hAnsi="Times New Roman" w:cs="Times New Roman"/>
          <w:color w:val="555555"/>
          <w:sz w:val="24"/>
          <w:szCs w:val="24"/>
          <w:lang w:eastAsia="ru-RU"/>
        </w:rPr>
        <w:t>ок не позднее 30 дней с момента направления уведомления о соответствии комплекта документов требованиям нормативных документов Системы для целей аккредитации. </w:t>
      </w:r>
    </w:p>
    <w:p w:rsidR="004E5772" w:rsidRPr="004E5772" w:rsidRDefault="004E5772" w:rsidP="004E5772">
      <w:pPr>
        <w:shd w:val="clear" w:color="auto" w:fill="FFFFFF"/>
        <w:spacing w:after="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5. ФУНКЦИИ И ОБЯЗАННОСТИ</w:t>
      </w:r>
      <w:r w:rsidRPr="004E5772">
        <w:rPr>
          <w:rFonts w:ascii="Times New Roman" w:eastAsia="Times New Roman" w:hAnsi="Times New Roman" w:cs="Times New Roman"/>
          <w:color w:val="555555"/>
          <w:sz w:val="24"/>
          <w:szCs w:val="24"/>
          <w:lang w:eastAsia="ru-RU"/>
        </w:rPr>
        <w:t> </w:t>
      </w:r>
      <w:r w:rsidRPr="004E5772">
        <w:rPr>
          <w:rFonts w:ascii="Verdana" w:eastAsia="Times New Roman" w:hAnsi="Verdana" w:cs="Times New Roman"/>
          <w:b/>
          <w:bCs/>
          <w:color w:val="555555"/>
          <w:sz w:val="20"/>
          <w:szCs w:val="20"/>
          <w:lang w:eastAsia="ru-RU"/>
        </w:rPr>
        <w:t>ТЕРРИТОРИАЛЬНОГО ОРГАНА ПО СЕРТИФИКАЦИИ.</w:t>
      </w:r>
      <w:r w:rsidRPr="004E5772">
        <w:rPr>
          <w:rFonts w:ascii="Times New Roman" w:eastAsia="Times New Roman" w:hAnsi="Times New Roman" w:cs="Times New Roman"/>
          <w:color w:val="555555"/>
          <w:sz w:val="24"/>
          <w:szCs w:val="24"/>
          <w:lang w:eastAsia="ru-RU"/>
        </w:rPr>
        <w:t> </w:t>
      </w:r>
      <w:r w:rsidRPr="004E5772">
        <w:rPr>
          <w:rFonts w:ascii="Verdana" w:eastAsia="Times New Roman" w:hAnsi="Verdana" w:cs="Times New Roman"/>
          <w:b/>
          <w:bCs/>
          <w:color w:val="555555"/>
          <w:sz w:val="20"/>
          <w:szCs w:val="20"/>
          <w:lang w:eastAsia="ru-RU"/>
        </w:rPr>
        <w:t>ТРЕБОВАНИЯ К ТЕРРИТОРИАЛЬНОМУ ОРГАНУ ПО СЕРТИФИКАЦИИ.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5.1. Функции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proofErr w:type="gramStart"/>
      <w:r w:rsidRPr="004E5772">
        <w:rPr>
          <w:rFonts w:ascii="Verdana" w:eastAsia="Times New Roman" w:hAnsi="Verdana" w:cs="Times New Roman"/>
          <w:color w:val="555555"/>
          <w:sz w:val="20"/>
          <w:szCs w:val="20"/>
          <w:lang w:eastAsia="ru-RU"/>
        </w:rPr>
        <w:t>- проведение сертификации брокерских услуг по правилам Системы Сертификации в пределах, установленных в Договоре полномочий, выдача сертификатов соответствия установленного РОСС образца исполнителям брокерских услуг, осуществляющих свою деятельность на территории субъекта Российской Федерации, в котором расположен ТОС, а также сертификации брокерских услуг в случаях, установленных в разделе 11 настоящего Стандарта;</w:t>
      </w:r>
      <w:proofErr w:type="gramEnd"/>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заключение Договоров и Соглашений по сертификации (далее – Соглашение) с исполнителями брокерских услуг;</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предоставление исполнителям брокерских услуг, по их требованию, необходимой информации в пределах своей компетенции;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участие в процедурах, связанных с аттестацией специалистов рынка недвижимости – агентов и брокеров в рамках Системы добровольной сертификации услуг на рынке недвижимости.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5.2. Обязанности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создавать необходимые условия для проведения Руководящим Органом Системы Сертификации и/или Управляющим Советом РОСС инспекционного контроля, в том числе обеспечивать доступ лиц, уполномоченных на проведение инспекционного контроля, к необходимой документации;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представлять в Руководящий Орган Системы Сертификации информацию о деятельности Территориального органа по сертификации в установленном порядке;</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своевременно извещать Руководящий Орган Системы Сертификации о структурных и качественных изменениях, а также изменениях юридического адреса и платежных реквизитов;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обеспечивать по договоренности с заявителем (владельцем сертификата соответствия) конфиденциальность информации о финансово-экономических показателях его деятельности, организации бизнес-процессов, полученной при проведении сертификации (в случае, если при проведении процедур сертификации, такая информация стала доступной для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приостановить (прекратить) деятельность по сертификации в случае приостановления действия (отмены) свидетельства Территориального органа по сертификации.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lastRenderedPageBreak/>
        <w:t>5.3. Требования к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быть беспристрастным, независимым от исполнителей и потребителей брокерских услуг (являться третьей стороной);</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5.4. Участие ТОС в процедурах, связанных с аттестацией специалистов рынка недвижимости – агентов и брокеров определяется Положением «О порядке аттестации специалистов рынка недвижимости – агентов и брокеров в рамках Системы добровольной сертификации услуг на рынке недвижимости».</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6. ОРГАНИЗАЦИОННАЯ СТРУКТУРА</w:t>
      </w:r>
      <w:r w:rsidRPr="004E5772">
        <w:rPr>
          <w:rFonts w:ascii="Times New Roman" w:eastAsia="Times New Roman" w:hAnsi="Times New Roman" w:cs="Times New Roman"/>
          <w:color w:val="555555"/>
          <w:sz w:val="24"/>
          <w:szCs w:val="24"/>
          <w:lang w:eastAsia="ru-RU"/>
        </w:rPr>
        <w:t> </w:t>
      </w:r>
      <w:r w:rsidRPr="004E5772">
        <w:rPr>
          <w:rFonts w:ascii="Verdana" w:eastAsia="Times New Roman" w:hAnsi="Verdana" w:cs="Times New Roman"/>
          <w:b/>
          <w:bCs/>
          <w:color w:val="555555"/>
          <w:sz w:val="20"/>
          <w:szCs w:val="20"/>
          <w:lang w:eastAsia="ru-RU"/>
        </w:rPr>
        <w:t>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6.1. Организационная структура ТОС должна обеспечивать выполнение работ по сертификации в соответствии с требованиями настоящего стандарта и иными документами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6.2. Структура ТОС должна гарантировать беспристрастность и равные возможности участия всех заинтересованных сторон в процедурах Системы Сертификации.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6.3. Организационная структура ТОС должна включать:</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руководителя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аттестованных экспертов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управляющий совет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комиссию по разрешению споров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6.3.1. В структуре исполнительного органа Ассоциации может быть создано структурное подразделение – Отдел по сертификации ТОС. Функции и полномочия Отдела по сертификации ТОС устанавливаются на основании Положения об Отделе по сертификации ТОС, утверждаемом  Управляющим советом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 Руководитель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6.4.1. Руководителем ТОС является по должности Руководитель Ассоциации.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6.4.2. Руководитель ТОС взаимодействует с Руководящим Органом Системы Сертификации, а также с заинтересованными организациями, обеспечивает конфиденциальность информации.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6.4.3. Руководителем ТОС может быть и иное лицо. В этом случае, данное лицо действует по доверенности, выданной руководителем Ассоциации, а порядок его избрания (назначения) на должность руководителя ТОС, срок полномочий, а также иные требования, определяются Положением о руководителе ТОС, утверждаемом, органом управления Ассоциацией.</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6.4.4. Руководитель ТОС является членом Управляющего Совета ТОС по должности.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6.4.5. Деятельность руководителя ТОС включает в себя: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обеспечение взаимодействия с Руководящим Органом Системы Сертификации и другими организациями;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организацию работ, связанных с осуществлением  процедур сертификации, в том числе - консультирования о правилах и процедурах сертификации, прием документов от Заявителей, проведение проверок брокерских услуг, подготовка решений по результатам проверок, ведения делопроизводства ТОС, организация деятельности Управляющего совета ТОС и иных работ, связанных с деятельностью ТОС в рамках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обеспечение повышения квалификации специалистов ТОС и персонала отдела по сертификации (в случае его наличия);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координация деятельности экспертов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соблюдение в полном объеме установленных правил и порядка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выполнение корректирующих мероприятий по итогам рассмотрения апелляций;</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предоставление отчетов о деятельности ТОС Руководящему Органу Системы Сертификации</w:t>
      </w:r>
      <w:hyperlink r:id="rId5" w:history="1">
        <w:r w:rsidRPr="004E5772">
          <w:rPr>
            <w:rFonts w:ascii="Verdana" w:eastAsia="Times New Roman" w:hAnsi="Verdana" w:cs="Times New Roman"/>
            <w:color w:val="0000FF"/>
            <w:sz w:val="20"/>
            <w:szCs w:val="20"/>
            <w:u w:val="single"/>
            <w:lang w:eastAsia="ru-RU"/>
          </w:rPr>
          <w:t>;</w:t>
        </w:r>
      </w:hyperlink>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 </w:t>
      </w:r>
      <w:r w:rsidRPr="004E5772">
        <w:rPr>
          <w:rFonts w:ascii="Verdana" w:eastAsia="Times New Roman" w:hAnsi="Verdana" w:cs="Times New Roman"/>
          <w:color w:val="555555"/>
          <w:sz w:val="20"/>
          <w:szCs w:val="20"/>
          <w:lang w:eastAsia="ru-RU"/>
        </w:rPr>
        <w:t>проведение организационной работы по пропаганде Системы сертификации на сайте Ассоциации, в СМИ и среди исполнителей брокерских услуг.</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lastRenderedPageBreak/>
        <w:t>6.4.6. Руководитель ТОС несет персональную ответственность за деятельность экспертов ТОС в части соблюдения в полном объеме установленных правил и порядка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6.4.7. Руководитель ТОС предоставляет органу управления Ассоциацией отчет о поступлении и расходовании по целевому назначению средств, полученных от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6.5. Эксперты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6.5.1. ТОС должен иметь не менее 2-х аттестованных экспертов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6.5.2. Порядок проведения аттестации экспертов ТОС определяется Управляющим Советом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6.5.3. Аттестованные эксперты могут быть штатными сотрудниками ТОС или привлекаемыми специалистами.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6.5.4. Эксперты ТОС должны пройти </w:t>
      </w:r>
      <w:proofErr w:type="gramStart"/>
      <w:r w:rsidRPr="004E5772">
        <w:rPr>
          <w:rFonts w:ascii="Verdana" w:eastAsia="Times New Roman" w:hAnsi="Verdana" w:cs="Times New Roman"/>
          <w:color w:val="555555"/>
          <w:sz w:val="20"/>
          <w:szCs w:val="20"/>
          <w:lang w:eastAsia="ru-RU"/>
        </w:rPr>
        <w:t>обучение по программе</w:t>
      </w:r>
      <w:proofErr w:type="gramEnd"/>
      <w:r w:rsidRPr="004E5772">
        <w:rPr>
          <w:rFonts w:ascii="Verdana" w:eastAsia="Times New Roman" w:hAnsi="Verdana" w:cs="Times New Roman"/>
          <w:color w:val="555555"/>
          <w:sz w:val="20"/>
          <w:szCs w:val="20"/>
          <w:lang w:eastAsia="ru-RU"/>
        </w:rPr>
        <w:t>, обеспечивающей выполнение работ по сертификации брокерских услуг, и не реже одного раза в три года повышать свою квалификацию на специальных курсах, организованных Руководящим Органом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6.5.5. Деятельность экспертов осуществляется на основании должностных инструкций, утверждаемых руководителем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6.5.6. Функции аттестованных экспертов: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разработка и актуализация организационно-методических документов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консультирование заявителей и исполнителей брокерских услуг о правилах и процедурах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анализ заявок на проведение сертификации и прилагаемых к ним материалов;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решения по заявкам;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Договора на проведение работ по сертификации между ТОС и заявителем;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разработка программы и организация проведения проверки брокерских услуг;</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заключения по результатам проверки;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проекта решения о выдаче (невыдаче) сертификата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проекта решения о приостановлении или аннулировании сертификата соответствия и Соглашения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проекта решения о продлении (отказе в продлении) срока действия сертификата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проекта Соглашения по сертификации между ТОС и владельцем сертификата;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оформление уведомлений в адрес исполнителей брокерских услуг и владельцев сертификатов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организация выдачи сертификатов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разработка планов инспекционного контроля;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организация проведения инспекционного контроля;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доведение информации о результатах сертификации до сведения заинтересованных лиц;</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подготовка материалов для рассмотрения на Управляющем Совете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 </w:t>
      </w:r>
      <w:proofErr w:type="gramStart"/>
      <w:r w:rsidRPr="004E5772">
        <w:rPr>
          <w:rFonts w:ascii="Verdana" w:eastAsia="Times New Roman" w:hAnsi="Verdana" w:cs="Times New Roman"/>
          <w:color w:val="555555"/>
          <w:sz w:val="20"/>
          <w:szCs w:val="20"/>
          <w:lang w:eastAsia="ru-RU"/>
        </w:rPr>
        <w:t>контроль за</w:t>
      </w:r>
      <w:proofErr w:type="gramEnd"/>
      <w:r w:rsidRPr="004E5772">
        <w:rPr>
          <w:rFonts w:ascii="Verdana" w:eastAsia="Times New Roman" w:hAnsi="Verdana" w:cs="Times New Roman"/>
          <w:color w:val="555555"/>
          <w:sz w:val="20"/>
          <w:szCs w:val="20"/>
          <w:lang w:eastAsia="ru-RU"/>
        </w:rPr>
        <w:t xml:space="preserve"> выполнением заявителями и владельцами сертификатов соответствия своих обязательств по Договорам и Соглашениям.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6.5.7. ТОС должен </w:t>
      </w:r>
      <w:proofErr w:type="gramStart"/>
      <w:r w:rsidRPr="004E5772">
        <w:rPr>
          <w:rFonts w:ascii="Verdana" w:eastAsia="Times New Roman" w:hAnsi="Verdana" w:cs="Times New Roman"/>
          <w:color w:val="555555"/>
          <w:sz w:val="20"/>
          <w:szCs w:val="20"/>
          <w:lang w:eastAsia="ru-RU"/>
        </w:rPr>
        <w:t>стремится</w:t>
      </w:r>
      <w:proofErr w:type="gramEnd"/>
      <w:r w:rsidRPr="004E5772">
        <w:rPr>
          <w:rFonts w:ascii="Verdana" w:eastAsia="Times New Roman" w:hAnsi="Verdana" w:cs="Times New Roman"/>
          <w:color w:val="555555"/>
          <w:sz w:val="20"/>
          <w:szCs w:val="20"/>
          <w:lang w:eastAsia="ru-RU"/>
        </w:rPr>
        <w:t xml:space="preserve"> исключить воздействие на аттестованных экспертов ТОС со стороны лиц или организаций, которые имеют непосредственную заинтересованность в результатах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6.6. Управляющий Совет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6.6.1. </w:t>
      </w:r>
      <w:r w:rsidR="003208FE" w:rsidRPr="003208FE">
        <w:rPr>
          <w:rFonts w:ascii="Verdana" w:eastAsia="Times New Roman" w:hAnsi="Verdana" w:cs="Times New Roman"/>
          <w:color w:val="555555"/>
          <w:sz w:val="20"/>
          <w:szCs w:val="20"/>
          <w:lang w:eastAsia="ru-RU"/>
        </w:rPr>
        <w:t>Порядок формирования, функции и требования к деятельности Управляющего совета ТОС определяются Положением об Управляющем совете ТОС, которое разрабатывается Ассоциацией и утверждается решением ее высшего к</w:t>
      </w:r>
      <w:r w:rsidR="003208FE">
        <w:rPr>
          <w:rFonts w:ascii="Verdana" w:eastAsia="Times New Roman" w:hAnsi="Verdana" w:cs="Times New Roman"/>
          <w:color w:val="555555"/>
          <w:sz w:val="20"/>
          <w:szCs w:val="20"/>
          <w:lang w:eastAsia="ru-RU"/>
        </w:rPr>
        <w:t>оллегиального органа управления</w:t>
      </w:r>
      <w:r w:rsidRPr="004E5772">
        <w:rPr>
          <w:rFonts w:ascii="Verdana" w:eastAsia="Times New Roman" w:hAnsi="Verdana" w:cs="Times New Roman"/>
          <w:color w:val="555555"/>
          <w:sz w:val="20"/>
          <w:szCs w:val="20"/>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6.6.2. </w:t>
      </w:r>
      <w:r w:rsidR="003208FE" w:rsidRPr="003208FE">
        <w:rPr>
          <w:rFonts w:ascii="Verdana" w:eastAsia="Times New Roman" w:hAnsi="Verdana" w:cs="Times New Roman"/>
          <w:color w:val="555555"/>
          <w:sz w:val="20"/>
          <w:szCs w:val="20"/>
          <w:lang w:eastAsia="ru-RU"/>
        </w:rPr>
        <w:t>Персональный состав Управляющего совета ТОС утверждается решением коллегиального органа оперативного управления Ассоциации, а при его отсутствии - решением высшего коллегиального органа управления Ассоциации с учетом требований, изложенных в настояще</w:t>
      </w:r>
      <w:r w:rsidR="003208FE">
        <w:rPr>
          <w:rFonts w:ascii="Verdana" w:eastAsia="Times New Roman" w:hAnsi="Verdana" w:cs="Times New Roman"/>
          <w:color w:val="555555"/>
          <w:sz w:val="20"/>
          <w:szCs w:val="20"/>
          <w:lang w:eastAsia="ru-RU"/>
        </w:rPr>
        <w:t>м Стандарте</w:t>
      </w:r>
      <w:r w:rsidRPr="004E5772">
        <w:rPr>
          <w:rFonts w:ascii="Verdana" w:eastAsia="Times New Roman" w:hAnsi="Verdana" w:cs="Times New Roman"/>
          <w:color w:val="555555"/>
          <w:sz w:val="20"/>
          <w:szCs w:val="20"/>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lastRenderedPageBreak/>
        <w:t xml:space="preserve">6.6.3. Состав Управляющего Совета ТОС должен включать в себя представителей </w:t>
      </w:r>
      <w:proofErr w:type="spellStart"/>
      <w:r w:rsidRPr="004E5772">
        <w:rPr>
          <w:rFonts w:ascii="Verdana" w:eastAsia="Times New Roman" w:hAnsi="Verdana" w:cs="Times New Roman"/>
          <w:color w:val="555555"/>
          <w:sz w:val="20"/>
          <w:szCs w:val="20"/>
          <w:lang w:eastAsia="ru-RU"/>
        </w:rPr>
        <w:t>риэлторского</w:t>
      </w:r>
      <w:proofErr w:type="spellEnd"/>
      <w:r w:rsidRPr="004E5772">
        <w:rPr>
          <w:rFonts w:ascii="Verdana" w:eastAsia="Times New Roman" w:hAnsi="Verdana" w:cs="Times New Roman"/>
          <w:color w:val="555555"/>
          <w:sz w:val="20"/>
          <w:szCs w:val="20"/>
          <w:lang w:eastAsia="ru-RU"/>
        </w:rPr>
        <w:t xml:space="preserve"> сообщества  в количестве не менее 50% от общей численности состава Управляющего совета ТОС, а также иных представителей, предложенных органом управления Ассоциацией.</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6.6.4. Срок полномочий персонального состава Управляющего Совета ТОС не может превышать 3 лет.</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6.6.5. Управляющий Совет ТОС обеспечивает независимость принятия решений по вопросам сертификации путем разделения лиц принимающих решения о выдаче сертификата соответствия и лиц, участвовавших в проверке исполнителей брокерских услуг.</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6.6.6. Основными функциями Управляющего Совета ТОС являются: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 </w:t>
      </w:r>
      <w:proofErr w:type="gramStart"/>
      <w:r w:rsidRPr="004E5772">
        <w:rPr>
          <w:rFonts w:ascii="Verdana" w:eastAsia="Times New Roman" w:hAnsi="Verdana" w:cs="Times New Roman"/>
          <w:color w:val="555555"/>
          <w:sz w:val="20"/>
          <w:szCs w:val="20"/>
          <w:lang w:eastAsia="ru-RU"/>
        </w:rPr>
        <w:t>контроль за</w:t>
      </w:r>
      <w:proofErr w:type="gramEnd"/>
      <w:r w:rsidRPr="004E5772">
        <w:rPr>
          <w:rFonts w:ascii="Verdana" w:eastAsia="Times New Roman" w:hAnsi="Verdana" w:cs="Times New Roman"/>
          <w:color w:val="555555"/>
          <w:sz w:val="20"/>
          <w:szCs w:val="20"/>
          <w:lang w:eastAsia="ru-RU"/>
        </w:rPr>
        <w:t xml:space="preserve"> реализацией политики, определяющей деятельность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принятие решений о выдаче (невыдаче), приостановлении, аннулировании или возобновлении действия сертификатов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принятие решений по вопросам, возникающим в процессе сертификации;</w:t>
      </w:r>
    </w:p>
    <w:p w:rsidR="004E5772" w:rsidRPr="004E5772" w:rsidRDefault="004E5772" w:rsidP="004E5772">
      <w:pPr>
        <w:shd w:val="clear" w:color="auto" w:fill="FFFFFF"/>
        <w:spacing w:after="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организация взаимодействия с Руководящим Органом Системы Сертификации и другими организациями по вопросам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6.7 Комиссия по разрешению споров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6.7.1. Комиссия по разрешению споров является постоянно действующей и создается для разрешения споров, разногласий, противоречий, возникающих в процессе деятельности ТОС между участниками Системы сертификации, указанными в п.6.7.6.</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6.7.2. Состав Комиссии по разрешению споров ТОС формируется из наиболее авторитетных и компетентных представителей Ассоциации и общества по защите прав потребителей.</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6.7.3. </w:t>
      </w:r>
      <w:r w:rsidR="003208FE" w:rsidRPr="003208FE">
        <w:rPr>
          <w:rFonts w:ascii="Verdana" w:eastAsia="Times New Roman" w:hAnsi="Verdana" w:cs="Times New Roman"/>
          <w:color w:val="555555"/>
          <w:sz w:val="20"/>
          <w:szCs w:val="20"/>
          <w:lang w:eastAsia="ru-RU"/>
        </w:rPr>
        <w:t xml:space="preserve">Порядок формирования,   функции и требования к деятельности Комиссии по разрешению споров ТОС определяются Положением о Комиссии по разрешению споров ТОС, которое разрабатывается Ассоциацией и утверждается решением ее высшего коллегиального </w:t>
      </w:r>
      <w:r w:rsidR="003208FE">
        <w:rPr>
          <w:rFonts w:ascii="Verdana" w:eastAsia="Times New Roman" w:hAnsi="Verdana" w:cs="Times New Roman"/>
          <w:color w:val="555555"/>
          <w:sz w:val="20"/>
          <w:szCs w:val="20"/>
          <w:lang w:eastAsia="ru-RU"/>
        </w:rPr>
        <w:t>органа управления</w:t>
      </w:r>
      <w:r w:rsidRPr="004E5772">
        <w:rPr>
          <w:rFonts w:ascii="Verdana" w:eastAsia="Times New Roman" w:hAnsi="Verdana" w:cs="Times New Roman"/>
          <w:color w:val="555555"/>
          <w:sz w:val="20"/>
          <w:szCs w:val="20"/>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6.7.4.  </w:t>
      </w:r>
      <w:r w:rsidR="003208FE" w:rsidRPr="003208FE">
        <w:rPr>
          <w:rFonts w:ascii="Verdana" w:eastAsia="Times New Roman" w:hAnsi="Verdana" w:cs="Times New Roman"/>
          <w:color w:val="555555"/>
          <w:sz w:val="20"/>
          <w:szCs w:val="20"/>
          <w:lang w:eastAsia="ru-RU"/>
        </w:rPr>
        <w:t>Персональный состав Комиссии по разрешению споров ТОС утверждается решением коллегиального органа оперативного управления Ассоциации, а при его отсутствии - решением высшего коллегиального органа управления Ассоциации с учетом требований, и</w:t>
      </w:r>
      <w:r w:rsidR="003208FE">
        <w:rPr>
          <w:rFonts w:ascii="Verdana" w:eastAsia="Times New Roman" w:hAnsi="Verdana" w:cs="Times New Roman"/>
          <w:color w:val="555555"/>
          <w:sz w:val="20"/>
          <w:szCs w:val="20"/>
          <w:lang w:eastAsia="ru-RU"/>
        </w:rPr>
        <w:t>зложенных в настоящем Стандарте</w:t>
      </w:r>
      <w:bookmarkStart w:id="0" w:name="_GoBack"/>
      <w:bookmarkEnd w:id="0"/>
      <w:r w:rsidRPr="004E5772">
        <w:rPr>
          <w:rFonts w:ascii="Verdana" w:eastAsia="Times New Roman" w:hAnsi="Verdana" w:cs="Times New Roman"/>
          <w:color w:val="555555"/>
          <w:sz w:val="20"/>
          <w:szCs w:val="20"/>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6.7.5. Срок полномочий персонального состава Комиссии по разрешению споров  ТОС не может превышать 3 лет.</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6.7.6. Основными функциями Комиссии по разрешению споров ТОС являются: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рассмотрение споров между потребителями и владельцами сертификатов соответствия, а также обращений и жалоб, поступивших от потребителей и владельцев сертификатов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рассмотрение жалоб исполнителей брокерских услуг на решения Управляющего Совета ТОС и его руководителя;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рассмотрение споров между сертифицированными компаниям</w:t>
      </w:r>
      <w:proofErr w:type="gramStart"/>
      <w:r w:rsidRPr="004E5772">
        <w:rPr>
          <w:rFonts w:ascii="Verdana" w:eastAsia="Times New Roman" w:hAnsi="Verdana" w:cs="Times New Roman"/>
          <w:color w:val="555555"/>
          <w:sz w:val="20"/>
          <w:szCs w:val="20"/>
          <w:lang w:eastAsia="ru-RU"/>
        </w:rPr>
        <w:t>и(</w:t>
      </w:r>
      <w:proofErr w:type="gramEnd"/>
      <w:r w:rsidRPr="004E5772">
        <w:rPr>
          <w:rFonts w:ascii="Verdana" w:eastAsia="Times New Roman" w:hAnsi="Verdana" w:cs="Times New Roman"/>
          <w:color w:val="555555"/>
          <w:sz w:val="20"/>
          <w:szCs w:val="20"/>
          <w:lang w:eastAsia="ru-RU"/>
        </w:rPr>
        <w:t xml:space="preserve"> юридическими лицами и/или индивидуальными предпринимателями);</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разработка рекомендаций по исключению конфликтных (спорных) ситуаций, возникающих в рамках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6.7.7. Комиссия по разрешению споров действует в соответствии с Положением, разработанным ТОС и утвержденным Руководящим Органом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6.8. По решению высшего органа управления Ассоциацией функции Комиссии по разрешению споров  ТОС могут быть возложены на соответствующий орган Ассоциации. В этом случае, Положение о данном органе Ассоциации должно включать требование раздела 6.7 настоящего Стандарта.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6.9. Информация о персональном составе Управляющего совета ТОС, Комиссии по разрешению споров, экспертах по сертификации ТОС размещается на официальном сайте Ассоциации с соблюдением действующего законодательства РФ о защите персональных данных.</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6.10. Персональные составы Управляющего совета и Комиссии по разрешению споров ТОС могут включать одних и тех же лиц, но не более 25% от общей списочной численности основного состава участников каждого из названных органов. При этом, </w:t>
      </w:r>
      <w:r w:rsidRPr="004E5772">
        <w:rPr>
          <w:rFonts w:ascii="Verdana" w:eastAsia="Times New Roman" w:hAnsi="Verdana" w:cs="Times New Roman"/>
          <w:color w:val="555555"/>
          <w:sz w:val="20"/>
          <w:szCs w:val="20"/>
          <w:lang w:eastAsia="ru-RU"/>
        </w:rPr>
        <w:lastRenderedPageBreak/>
        <w:t>отсутствие совпадений в составах участников Управляющего совета и Комиссии по разрешению споров расценивается УС РОСС как позитивный фактор при принятии решения об аккредитации ТОС.</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7. СРЕДСТВА, ПОЛУЧЕННЫЕ ОТ СЕРТИФИКАЦИИ И АТТЕСТАЦИИ</w:t>
      </w:r>
      <w:r w:rsidRPr="004E5772">
        <w:rPr>
          <w:rFonts w:ascii="Times New Roman" w:eastAsia="Times New Roman" w:hAnsi="Times New Roman" w:cs="Times New Roman"/>
          <w:color w:val="555555"/>
          <w:sz w:val="24"/>
          <w:szCs w:val="24"/>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7.1. Средства, полученные от сертификации и аттестации, должны быть использованы ТОС по целевому назначению для развития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7.2. Предельный размер средств, устанавливаемых для заявителей, может быть установлен (на определенный срок, либо без ограничения срока) Управляющим Советом РОСС РГР. Данный установленный размер является обязательным для всех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7.3. </w:t>
      </w:r>
      <w:proofErr w:type="gramStart"/>
      <w:r w:rsidRPr="004E5772">
        <w:rPr>
          <w:rFonts w:ascii="Verdana" w:eastAsia="Times New Roman" w:hAnsi="Verdana" w:cs="Times New Roman"/>
          <w:color w:val="555555"/>
          <w:sz w:val="20"/>
          <w:szCs w:val="20"/>
          <w:lang w:eastAsia="ru-RU"/>
        </w:rPr>
        <w:t>Контроль за</w:t>
      </w:r>
      <w:proofErr w:type="gramEnd"/>
      <w:r w:rsidRPr="004E5772">
        <w:rPr>
          <w:rFonts w:ascii="Verdana" w:eastAsia="Times New Roman" w:hAnsi="Verdana" w:cs="Times New Roman"/>
          <w:color w:val="555555"/>
          <w:sz w:val="20"/>
          <w:szCs w:val="20"/>
          <w:lang w:eastAsia="ru-RU"/>
        </w:rPr>
        <w:t xml:space="preserve"> движением средств, полученных от сертификации и аттестации, осуществляет руководитель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7.4. Руководитель ТОС </w:t>
      </w:r>
      <w:proofErr w:type="gramStart"/>
      <w:r w:rsidRPr="004E5772">
        <w:rPr>
          <w:rFonts w:ascii="Verdana" w:eastAsia="Times New Roman" w:hAnsi="Verdana" w:cs="Times New Roman"/>
          <w:color w:val="555555"/>
          <w:sz w:val="20"/>
          <w:szCs w:val="20"/>
          <w:lang w:eastAsia="ru-RU"/>
        </w:rPr>
        <w:t>предоставляет отчет</w:t>
      </w:r>
      <w:proofErr w:type="gramEnd"/>
      <w:r w:rsidRPr="004E5772">
        <w:rPr>
          <w:rFonts w:ascii="Verdana" w:eastAsia="Times New Roman" w:hAnsi="Verdana" w:cs="Times New Roman"/>
          <w:color w:val="555555"/>
          <w:sz w:val="20"/>
          <w:szCs w:val="20"/>
          <w:lang w:eastAsia="ru-RU"/>
        </w:rPr>
        <w:t xml:space="preserve"> о расходовании средств, полученных от сертификации и аттестации, органу управления Ассоциацией не менее одного раза в год.</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150" w:line="240" w:lineRule="auto"/>
        <w:ind w:hanging="17"/>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8. ПОРЯДОК ПРОВЕДЕНИЯ ПРОВЕРОК ДЕЯТЕЛЬНОСТИ ТЕРРИТОРИАЛЬНОГО  ОРГАНА ПО СЕРТИФИКАЦИИ</w:t>
      </w:r>
      <w:r w:rsidRPr="004E5772">
        <w:rPr>
          <w:rFonts w:ascii="Times New Roman" w:eastAsia="Times New Roman" w:hAnsi="Times New Roman" w:cs="Times New Roman"/>
          <w:color w:val="555555"/>
          <w:sz w:val="24"/>
          <w:szCs w:val="24"/>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8.1. Проверки деятельности ТОС осуществляются на основании графика проверок, утверждаемого Управляющим советом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8.2. Проверки деятельности ТОС осуществляются членами Управляющего совета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8.3. Результаты проверок деятельности ТОС доводятся до членов органа управления Ассоциацией руководителем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8.4. По инициативе органа управления Ассоциацией могут проводиться внутренние проверки системы качества ТОС. В этом случае орган управления Ассоциации определяет состав комиссии и программу проверки.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8.5. ТОС обязан осуществлять контроль за наличием у владельцев </w:t>
      </w:r>
      <w:proofErr w:type="gramStart"/>
      <w:r w:rsidRPr="004E5772">
        <w:rPr>
          <w:rFonts w:ascii="Verdana" w:eastAsia="Times New Roman" w:hAnsi="Verdana" w:cs="Times New Roman"/>
          <w:color w:val="555555"/>
          <w:sz w:val="20"/>
          <w:szCs w:val="20"/>
          <w:lang w:eastAsia="ru-RU"/>
        </w:rPr>
        <w:t>сертификатов соответствия действующих полисов страхования профессиональной ответственности</w:t>
      </w:r>
      <w:proofErr w:type="gramEnd"/>
      <w:r w:rsidRPr="004E5772">
        <w:rPr>
          <w:rFonts w:ascii="Verdana" w:eastAsia="Times New Roman" w:hAnsi="Verdana" w:cs="Times New Roman"/>
          <w:color w:val="555555"/>
          <w:sz w:val="20"/>
          <w:szCs w:val="20"/>
          <w:lang w:eastAsia="ru-RU"/>
        </w:rPr>
        <w:t xml:space="preserve">. Настоящим Стандартом устанавливается следующий порядок действий ТОС по контролю за наличием у владельцев </w:t>
      </w:r>
      <w:proofErr w:type="gramStart"/>
      <w:r w:rsidRPr="004E5772">
        <w:rPr>
          <w:rFonts w:ascii="Verdana" w:eastAsia="Times New Roman" w:hAnsi="Verdana" w:cs="Times New Roman"/>
          <w:color w:val="555555"/>
          <w:sz w:val="20"/>
          <w:szCs w:val="20"/>
          <w:lang w:eastAsia="ru-RU"/>
        </w:rPr>
        <w:t>сертификатов соответствия действующих полисов страхования профессиональной ответственности</w:t>
      </w:r>
      <w:proofErr w:type="gramEnd"/>
      <w:r w:rsidRPr="004E5772">
        <w:rPr>
          <w:rFonts w:ascii="Verdana" w:eastAsia="Times New Roman" w:hAnsi="Verdana" w:cs="Times New Roman"/>
          <w:color w:val="555555"/>
          <w:sz w:val="20"/>
          <w:szCs w:val="20"/>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8.5.1. </w:t>
      </w:r>
      <w:proofErr w:type="gramStart"/>
      <w:r w:rsidRPr="004E5772">
        <w:rPr>
          <w:rFonts w:ascii="Verdana" w:eastAsia="Times New Roman" w:hAnsi="Verdana" w:cs="Times New Roman"/>
          <w:color w:val="555555"/>
          <w:sz w:val="20"/>
          <w:szCs w:val="20"/>
          <w:lang w:eastAsia="ru-RU"/>
        </w:rPr>
        <w:t>ТОС обязан в срок не позднее 30 календарных дней до момента истечения срока действия полиса страхования у владельца сертификата соответствия направить уведомление в адрес владельца сертификата соответствия о необходимости предоставления в ТОС полиса страхования профессиональной ответственности на следующий срок.</w:t>
      </w:r>
      <w:proofErr w:type="gramEnd"/>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8.5.2. </w:t>
      </w:r>
      <w:proofErr w:type="gramStart"/>
      <w:r w:rsidRPr="004E5772">
        <w:rPr>
          <w:rFonts w:ascii="Verdana" w:eastAsia="Times New Roman" w:hAnsi="Verdana" w:cs="Times New Roman"/>
          <w:color w:val="555555"/>
          <w:sz w:val="20"/>
          <w:szCs w:val="20"/>
          <w:lang w:eastAsia="ru-RU"/>
        </w:rPr>
        <w:t>В случае непредставления владельцем сертификата соответствия в ТОС полиса страхования профессиональной ответственности на следующий срок, Управляющий совет территориального органа по сертификации обязан в срок не позднее 30 календарных дней с момента истечения срока действия полиса страхования у владельца сертификата соответствия, принять решение о приостановке действия сертификата соответствия владельца сертификата до момента оформления полиса.</w:t>
      </w:r>
      <w:proofErr w:type="gramEnd"/>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8.5.3. Решение о возобновлении действия сертификата соответствия принимается Управляющим советом ТОС при предоставлении владельцем сертификата действующего полиса страхования профессиональной ответственности в срок не позднее 7 календарных дней с момента предоставления полиса.</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8.5.4. В случае, не принятия владельцем сертификата соответствия мер по страхованию профессиональной ответственности в течени</w:t>
      </w:r>
      <w:proofErr w:type="gramStart"/>
      <w:r w:rsidRPr="004E5772">
        <w:rPr>
          <w:rFonts w:ascii="Verdana" w:eastAsia="Times New Roman" w:hAnsi="Verdana" w:cs="Times New Roman"/>
          <w:color w:val="555555"/>
          <w:sz w:val="20"/>
          <w:szCs w:val="20"/>
          <w:lang w:eastAsia="ru-RU"/>
        </w:rPr>
        <w:t>и</w:t>
      </w:r>
      <w:proofErr w:type="gramEnd"/>
      <w:r w:rsidRPr="004E5772">
        <w:rPr>
          <w:rFonts w:ascii="Verdana" w:eastAsia="Times New Roman" w:hAnsi="Verdana" w:cs="Times New Roman"/>
          <w:color w:val="555555"/>
          <w:sz w:val="20"/>
          <w:szCs w:val="20"/>
          <w:lang w:eastAsia="ru-RU"/>
        </w:rPr>
        <w:t xml:space="preserve"> 3-х месяцев с момента окончания срока действия полиса страхования профессиональной ответственности, сертификат соответствия подлежит аннулированию решением Управляющего совета соответствующего территориального органа по сертификации. При этом</w:t>
      </w:r>
      <w:proofErr w:type="gramStart"/>
      <w:r w:rsidRPr="004E5772">
        <w:rPr>
          <w:rFonts w:ascii="Verdana" w:eastAsia="Times New Roman" w:hAnsi="Verdana" w:cs="Times New Roman"/>
          <w:color w:val="555555"/>
          <w:sz w:val="20"/>
          <w:szCs w:val="20"/>
          <w:lang w:eastAsia="ru-RU"/>
        </w:rPr>
        <w:t>,</w:t>
      </w:r>
      <w:proofErr w:type="gramEnd"/>
      <w:r w:rsidRPr="004E5772">
        <w:rPr>
          <w:rFonts w:ascii="Verdana" w:eastAsia="Times New Roman" w:hAnsi="Verdana" w:cs="Times New Roman"/>
          <w:color w:val="555555"/>
          <w:sz w:val="20"/>
          <w:szCs w:val="20"/>
          <w:lang w:eastAsia="ru-RU"/>
        </w:rPr>
        <w:t xml:space="preserve"> на территориальный орган по сертификации возлагается обязанность по исключению сведений о наличии сертификата у такой компании из Единого реестра в течение 3-х календарных дней после принятия вышеуказанного решения.</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9. ВЕДЕНИЕ РЕЕСТРА СИСТЕМЫ СЕРТИФИКАЦИИ</w:t>
      </w:r>
      <w:r w:rsidRPr="004E5772">
        <w:rPr>
          <w:rFonts w:ascii="Times New Roman" w:eastAsia="Times New Roman" w:hAnsi="Times New Roman" w:cs="Times New Roman"/>
          <w:color w:val="555555"/>
          <w:sz w:val="24"/>
          <w:szCs w:val="24"/>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lastRenderedPageBreak/>
        <w:t>9.1. Информация о Территориальных органах по сертификации и выданных ими сертификатах соответствия включается в Реестр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9.2. Сертификат соответствия вступает в силу с момента его регистрации в Реестре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9.3. </w:t>
      </w:r>
      <w:proofErr w:type="gramStart"/>
      <w:r w:rsidRPr="004E5772">
        <w:rPr>
          <w:rFonts w:ascii="Verdana" w:eastAsia="Times New Roman" w:hAnsi="Verdana" w:cs="Times New Roman"/>
          <w:color w:val="555555"/>
          <w:sz w:val="20"/>
          <w:szCs w:val="20"/>
          <w:lang w:eastAsia="ru-RU"/>
        </w:rPr>
        <w:t>Для своевременного предоставления информации в Руководящий Орган Системы Сертификации, а так же для размещения данных о сертифицированных компаниях (юридических лицах и/или индивидуальных предпринимателях) и выданных сертификатах соответствия руководитель ТОС назначает своим приказом ответственное лицо, в обязанности которого входит своевременное размещение информации в Реестре Системы сертификации в соответствии с настоящим Стандартом.</w:t>
      </w:r>
      <w:proofErr w:type="gramEnd"/>
      <w:r w:rsidRPr="004E5772">
        <w:rPr>
          <w:rFonts w:ascii="Verdana" w:eastAsia="Times New Roman" w:hAnsi="Verdana" w:cs="Times New Roman"/>
          <w:color w:val="555555"/>
          <w:sz w:val="20"/>
          <w:szCs w:val="20"/>
          <w:lang w:eastAsia="ru-RU"/>
        </w:rPr>
        <w:t xml:space="preserve"> Копия приказа о назначении ответственного лица представляется руководителем ТОС в отдел по сертификации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9.4. Регламент (правила) размещения в Реестре Системы сертификации данных о сертифицированных компаниях (юридических лицах и/или индивидуальных предпринимателях) и выданных сертификатах утверждается Управляющим советом РОСС.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9.5. Сертификат соответствия вступает в силу с момента его регистрации в Реестре Системы Сертификации.</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15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eastAsia="ru-RU"/>
        </w:rPr>
        <w:t>10. ДЕЛОПРОИЗВОДСТВО ТЕРРИТОРИАЛЬНОГО ОРГАНА ПО СЕРТИФИКАЦИИ</w:t>
      </w:r>
      <w:r w:rsidRPr="004E5772">
        <w:rPr>
          <w:rFonts w:ascii="Times New Roman" w:eastAsia="Times New Roman" w:hAnsi="Times New Roman" w:cs="Times New Roman"/>
          <w:color w:val="555555"/>
          <w:sz w:val="24"/>
          <w:szCs w:val="24"/>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10.1. ТОС ведет собственное делопроизводство и имеет печать.</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10.2. Ответственность за ведение делопроизводства, хранение документов и использование печати возлагается на руководителя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10.3. В состав документов, обязательных для хранения в ТОС, входят:</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10.3.1. Документы, определяющие организационную структуру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действующее свидетельство об аккредитации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Положение о Территориальном органе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список членов Управляющего Совета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протоколы заседаний Управляющего Совета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список экспертов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действующие аттестаты экспертов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Положение о Комиссии по разрешению споров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список членов Комиссии по разрешению споров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протоколы заседаний Комиссии по разрешению споров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10.3.2. Документы компаний, связанные с проведением проверок при осуществлении процедуры сертификации услуг, включающие в себя: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заявки от компании на проведение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договоры на проведение работ по сертификации между компанией и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список штатных специалистов по недвижимости-брокеров, список штатных специалистов по недвижимост</w:t>
      </w:r>
      <w:proofErr w:type="gramStart"/>
      <w:r w:rsidRPr="004E5772">
        <w:rPr>
          <w:rFonts w:ascii="Verdana" w:eastAsia="Times New Roman" w:hAnsi="Verdana" w:cs="Times New Roman"/>
          <w:color w:val="555555"/>
          <w:sz w:val="20"/>
          <w:szCs w:val="20"/>
          <w:lang w:eastAsia="ru-RU"/>
        </w:rPr>
        <w:t>и-</w:t>
      </w:r>
      <w:proofErr w:type="gramEnd"/>
      <w:r w:rsidRPr="004E5772">
        <w:rPr>
          <w:rFonts w:ascii="Verdana" w:eastAsia="Times New Roman" w:hAnsi="Verdana" w:cs="Times New Roman"/>
          <w:color w:val="555555"/>
          <w:sz w:val="20"/>
          <w:szCs w:val="20"/>
          <w:lang w:eastAsia="ru-RU"/>
        </w:rPr>
        <w:t xml:space="preserve"> агентов с приложением копий Аттестатов, подтверждающих квалификацию специалистов в рамах Системы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образцы типовых договоров, используемых компанией при оказании услуг потребителям;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копии документа об используемом для оказания услуг помещении;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копии документов о страховании профессиональной ответственности;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решения Управляющего совета ТОС по заявкам;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решение Управляющего совета ТОС о выдаче (невыдаче) сертификата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план инспекционного контроля представленных фирмой документов;</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акт проверок представленных документов.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10.3.3. Документы компаний, связанные с проведением плановых проверок в период действия сертификата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10.3.4. Документы компаний, связанные с проведением проверок при осуществлении процедуры пролонгации сертификата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10.3.5. Документы, связанные с проведением процедур аттестаций специалистов рынка недвижимости — Агентов и Брокеров (личные дела), включающие в себя:</w:t>
      </w:r>
    </w:p>
    <w:p w:rsidR="004E5772" w:rsidRPr="004E5772" w:rsidRDefault="004E5772" w:rsidP="004E5772">
      <w:pPr>
        <w:shd w:val="clear" w:color="auto" w:fill="FFFFFF"/>
        <w:spacing w:after="0" w:line="240" w:lineRule="auto"/>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lastRenderedPageBreak/>
        <w:t>Личные дела специалистов должны содержать:</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копии документов, подтверждающих трудовой стаж в качестве Агента и/или Брокера в случаях, предусмотренных Положением «О порядке аттестации специалистов рынка недвижимости - агентов и брокеров в рамках Системы добровольной сертификации услуг на рынке недвижимости»;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заявление установленного образца, на прохождение аттестации (повторной аттестации) специалиста рынка недвижимости – Агента и/или Брокера;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документы, подтверждающие результаты тестирования (тестовый листок + копия ведомости о сдаче квалификационного экзамена);</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копии выданных аттестатов.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10.4. Срок хранения документов, перечисленных в п.10.3. - 6 лет.</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 Печать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10.5.1. ТОС </w:t>
      </w:r>
      <w:proofErr w:type="gramStart"/>
      <w:r w:rsidRPr="004E5772">
        <w:rPr>
          <w:rFonts w:ascii="Verdana" w:eastAsia="Times New Roman" w:hAnsi="Verdana" w:cs="Times New Roman"/>
          <w:color w:val="555555"/>
          <w:sz w:val="20"/>
          <w:szCs w:val="20"/>
          <w:lang w:eastAsia="ru-RU"/>
        </w:rPr>
        <w:t>обязан</w:t>
      </w:r>
      <w:proofErr w:type="gramEnd"/>
      <w:r w:rsidRPr="004E5772">
        <w:rPr>
          <w:rFonts w:ascii="Verdana" w:eastAsia="Times New Roman" w:hAnsi="Verdana" w:cs="Times New Roman"/>
          <w:color w:val="555555"/>
          <w:sz w:val="20"/>
          <w:szCs w:val="20"/>
          <w:lang w:eastAsia="ru-RU"/>
        </w:rPr>
        <w:t xml:space="preserve"> иметь печать.</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10.5.2. Порядок использования печати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10.5.2.1. Печать ТОС используется для нанесения ее оттиска на следующие воды документов: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сертификаты соответствия;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аттестаты брокеров и агентов;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иные документы ТОС, за исключением документов, связанных с финансовыми отношениями по договорам на оказание услуг по сертификации и аттестации, приложений к ним, актов по ним, счетов и т.п. (для этих целей используется печать юридического лица, уполномоченного в качестве ТОС, в соответствии с п.4.1. настоящего Стандарта).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10.5.2.2. В случаях, непосредственно предусмотренных законодательством РФ, используется печать юридического лица, уполномоченного в качестве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10.5.3. Внешний вид оттиска печати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10.5.3.1. Внешний вид оттиска печати ТОС должен способствовать единообразному восприятию атрибутов Системы сертификации участниками Системы сертификации и потребителями и соответствовать требованиям, указанным в п.10.5.3.2 и 10.5.3.3.</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10.5.3.2. Печать ТОС должна иметь круглую форму размером 35-45 мм и содержать:</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в верхней части печати текст "Российская гильдия риэлторов";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в нижней части печати полное фирменное наименование юридического лица, уполномоченного в качестве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в центре печати: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а) знак соответствия Системы добровольной сертификации услуг РФ с соблюдением пропорций, отраженных в Положении «О Знаке соответствия»;</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б) под знаком соответствия располагается слово «ТОС» и его номер, зарегистрированный в едином реестре Системы.</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10.5.3.3. Оттиск печати ТОС должен обеспечивать четкое отображение всех элементов ее содержания.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10.5.3.4. Изготовление печати ТОС производится за счет средств юридического лица, уполномоченного в качестве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 xml:space="preserve">10.5.3.5. С целью </w:t>
      </w:r>
      <w:proofErr w:type="gramStart"/>
      <w:r w:rsidRPr="004E5772">
        <w:rPr>
          <w:rFonts w:ascii="Verdana" w:eastAsia="Times New Roman" w:hAnsi="Verdana" w:cs="Times New Roman"/>
          <w:color w:val="555555"/>
          <w:sz w:val="20"/>
          <w:szCs w:val="20"/>
          <w:lang w:eastAsia="ru-RU"/>
        </w:rPr>
        <w:t>обеспечения единообразного восприятия атрибутов Системы сертификации</w:t>
      </w:r>
      <w:proofErr w:type="gramEnd"/>
      <w:r w:rsidRPr="004E5772">
        <w:rPr>
          <w:rFonts w:ascii="Verdana" w:eastAsia="Times New Roman" w:hAnsi="Verdana" w:cs="Times New Roman"/>
          <w:color w:val="555555"/>
          <w:sz w:val="20"/>
          <w:szCs w:val="20"/>
          <w:lang w:eastAsia="ru-RU"/>
        </w:rPr>
        <w:t xml:space="preserve"> участниками Системы сертификации и потребителями Территориальный орган по сертификации перед началом использования печати (изготовлением) согласовывает ее оттиск </w:t>
      </w:r>
      <w:r w:rsidRPr="004E5772">
        <w:rPr>
          <w:rFonts w:ascii="Verdana" w:eastAsia="Times New Roman" w:hAnsi="Verdana" w:cs="Times New Roman"/>
          <w:color w:val="555555"/>
          <w:sz w:val="20"/>
          <w:szCs w:val="20"/>
          <w:lang w:val="en-US" w:eastAsia="ru-RU"/>
        </w:rPr>
        <w:t>c</w:t>
      </w:r>
      <w:r w:rsidRPr="004E5772">
        <w:rPr>
          <w:rFonts w:ascii="Verdana" w:eastAsia="Times New Roman" w:hAnsi="Verdana" w:cs="Times New Roman"/>
          <w:color w:val="555555"/>
          <w:sz w:val="20"/>
          <w:szCs w:val="20"/>
          <w:lang w:eastAsia="ru-RU"/>
        </w:rPr>
        <w:t> РОСС.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eastAsia="ru-RU"/>
        </w:rPr>
        <w:t>10.5.3.6. Территориальные Органы по сертификации обязаны привести печать в соответствие с данные разделом до 01.01.2013 года.</w:t>
      </w:r>
      <w:r w:rsidRPr="004E5772">
        <w:rPr>
          <w:rFonts w:ascii="Times New Roman" w:eastAsia="Times New Roman" w:hAnsi="Times New Roman" w:cs="Times New Roman"/>
          <w:color w:val="555555"/>
          <w:sz w:val="24"/>
          <w:szCs w:val="24"/>
          <w:lang w:eastAsia="ru-RU"/>
        </w:rPr>
        <w:t> </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val="x-none" w:eastAsia="ru-RU"/>
        </w:rPr>
        <w:t>11. ПРОЛОНГАЦИЯ СВИДЕТЕЛЬСТВА ОБ АККРЕДИТАЦИИ ТОС</w:t>
      </w:r>
      <w:r w:rsidRPr="004E5772">
        <w:rPr>
          <w:rFonts w:ascii="Verdana" w:eastAsia="Times New Roman" w:hAnsi="Verdana" w:cs="Times New Roman"/>
          <w:b/>
          <w:bCs/>
          <w:color w:val="555555"/>
          <w:sz w:val="20"/>
          <w:szCs w:val="20"/>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11.1. Пролонгация Свидетельства об аккредитации ТОС осуществляется по истечении срока его действия в соответствии с требованиями настоящего Стандарта.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11.2. Заявка на продление Свидетельства об аккредитации ТОС представляется в РОСС не позднее чем за 1 ( Один) месяц до истечения срока действия Свидетельства.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lastRenderedPageBreak/>
        <w:t>11.3. Для продления срока действия Свидетельства об аккредитации ТОС в РОСС предоставляются следующие документы:</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11.3.1. Заявка на пролонгацию договора на аккредитацию 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11.3.2. Отчет о деятельности ТОС, по форме, утвержденной Управляющим советом РОСС (форма отчета размещается на сайте rgr.ru);</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11.3.3. Копия документов, при наличии в них изменений за период действия Свидетельства об аккредитации ТОС (или письмо об отсутствии изменений):</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Копия устава и (или) других учредительных документов организации-заявителя (заверенная нотариально или подписью и печатью руководителя Ассоциации).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Положение о Территориальном Органе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Руководство по качеству Территориального органа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Порядок проведения работ по сертификации.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Положение об Управляющем Совете ТОС.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Положение о комиссии по разрешению споров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11.3.4. Персональный состав (список) Управляющего Совета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11.3.5. Персональный состав (список) Комиссии по разрешению споров.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11.3.6 Договор между РГР и ТОС подписанный со стороны ТОС в 2-х экземплярах.</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Документы представляются в РОСС за подписью руководителя ТОС, заверенные печатью и с указанием даты заполнения заявления.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При продлении свидетельства об аккредитации ТОС сохраняется номер предыдущего свидетельства.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11.4. В случае непредставления в РОСС заявки на продление Свидетельства об аккредитации ТОС в срок, указанный в пункте 11.2, РОСС вправе затребовать комплект документов в объеме, необходимом для первичной аккредитации.</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Направление требования РОСС о предоставлении указанного комплекта документов должно быть направлено в ТОС не позднее трех рабочих дней с даты истечения срока, оговоренного в п.11.2 настоящего Стандарта.</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11.5. ТОС, получивший требование РОСС, оговоренное в п.11.4., обязан предоставить в РОСС соответствующий комплект документов в срок не более 7 календарных дней с даты получения требования.</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xml:space="preserve">11.6. В случае невыполнения ТОС требования, регламентированного п.11.5. настоящего Стандарта, РОСС вправе со дня, следующего за датой просрочки, открыть прием заявок на первичную аккредитацию от иных заинтересованных организаций. При этом ТОС, не исполнивший требование п.11.5., не лишается права подачи заявки на первичную аккредитацию на общих условиях.(Предложения </w:t>
      </w:r>
      <w:proofErr w:type="spellStart"/>
      <w:r w:rsidRPr="004E5772">
        <w:rPr>
          <w:rFonts w:ascii="Verdana" w:eastAsia="Times New Roman" w:hAnsi="Verdana" w:cs="Times New Roman"/>
          <w:color w:val="555555"/>
          <w:sz w:val="20"/>
          <w:szCs w:val="20"/>
          <w:lang w:val="x-none" w:eastAsia="ru-RU"/>
        </w:rPr>
        <w:t>Галеева</w:t>
      </w:r>
      <w:proofErr w:type="spellEnd"/>
      <w:r w:rsidRPr="004E5772">
        <w:rPr>
          <w:rFonts w:ascii="Verdana" w:eastAsia="Times New Roman" w:hAnsi="Verdana" w:cs="Times New Roman"/>
          <w:color w:val="555555"/>
          <w:sz w:val="20"/>
          <w:szCs w:val="20"/>
          <w:lang w:val="x-none" w:eastAsia="ru-RU"/>
        </w:rPr>
        <w:t xml:space="preserve"> Р.Д., редакция Самойлова О.П.).</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b/>
          <w:bCs/>
          <w:color w:val="555555"/>
          <w:sz w:val="20"/>
          <w:szCs w:val="20"/>
          <w:lang w:val="x-none" w:eastAsia="ru-RU"/>
        </w:rPr>
        <w:t>12. ПРИОСТАНОВЛЕНИЕ И АННУЛИРОВАНИЕ СВИДЕТЕЛЬСТВА</w:t>
      </w:r>
      <w:r w:rsidRPr="004E5772">
        <w:rPr>
          <w:rFonts w:ascii="Verdana" w:eastAsia="Times New Roman" w:hAnsi="Verdana" w:cs="Times New Roman"/>
          <w:b/>
          <w:bCs/>
          <w:color w:val="555555"/>
          <w:sz w:val="20"/>
          <w:szCs w:val="20"/>
          <w:lang w:eastAsia="ru-RU"/>
        </w:rPr>
        <w:t>.</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12.1. Решение о приостановлении Свидетельства об аккредитации ТОС принимает Управляющий Совет РОСС.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12.2. Основаниями для приостановления действия Свидетельства об аккредитации ТОС могут являться: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несоответствие ТОС требованиям, установленным настоящим Стандартом;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невыполнение ТОС условий Договора с РОСС;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приостановление членства в НП «Российская Гильдия Риэлторов» ассоциации, аккредитованной в качестве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12.3. При принятии решения о приостановлении действия Свидетельства об аккредитации, РОСС совместно с ТОС, в срок не более 30 (Тридцати) календарных дней разрабатывают программу корректирующих мероприятий по устранению нарушений. Данная программа подлежит утверждению решением Управляющего совета РОСС в срок не позднее 14 дней с момента ее представления в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12.4. После выполнения ТОС программы корректирующих мероприятий, РОСС возобновляет действия Свидетельства об аккредитации ТОС путем принятия соответствующего решения на заседании Управляющего Совета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lastRenderedPageBreak/>
        <w:t>Срок приостановления Свидетельства об аккредитации ТОС не исключается из общего срока действия.</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12.5. Свидетельство об аккредитации ТОС может быть досрочно аннулировано путем принятия соответствующего решения на заседании Управляющего Совета РОСС в следующих случаях:</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невыполнение ТОС программы корректирующих мероприятий, по устранению нарушений в срок, установленный в решении Управляющего совета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заявление ТОС или ассоциации, аккредитованной в качестве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ликвидация ТОС или  ассоциации, аккредитованной в качестве ТОС;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расторжение Договора между ТОС и РОСС;</w:t>
      </w:r>
    </w:p>
    <w:p w:rsidR="004E5772" w:rsidRPr="004E5772" w:rsidRDefault="004E5772" w:rsidP="004E5772">
      <w:pPr>
        <w:shd w:val="clear" w:color="auto" w:fill="FFFFFF"/>
        <w:spacing w:after="15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 исключение ассоциации, аккредитованной в качестве ТОС из членов НП «Российская Гильдия Риэлторов».</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12.6. В течение 5 (пяти) рабочих дней со дня принятия решения об аннулировании Свидетельства об аккредитации ТОС, юридическое лицо, ранее уполномоченное в качестве ТОС, должно быть извещено о принятом решении путем направления официального письма от имени РОСС.</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12.7. В течение 30 (тридцати) рабочих дней ТОС может опротестовать решение об аннулировании Свидетельства об аккредитации ТОС в Апелляционной комиссии РОСС. Порядок обжалования установлен в СТО РГР «Апелляционная комиссия. Общие положения».</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12.8. Аннулирование Свидетельства об аккредитации ТОС и прекращение действия Договора вступает в силу с момента исключения Свидетельства из Реестра Системы.</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12.9. Повторная выдача Свидетельства производятся в порядке, установленном настоящим Стандартом.</w:t>
      </w:r>
    </w:p>
    <w:p w:rsidR="004E5772" w:rsidRPr="004E5772" w:rsidRDefault="004E5772" w:rsidP="004E5772">
      <w:pPr>
        <w:shd w:val="clear" w:color="auto" w:fill="FFFFFF"/>
        <w:spacing w:after="0" w:line="240" w:lineRule="auto"/>
        <w:ind w:firstLine="708"/>
        <w:jc w:val="both"/>
        <w:rPr>
          <w:rFonts w:ascii="Helvetica" w:eastAsia="Times New Roman" w:hAnsi="Helvetica" w:cs="Times New Roman"/>
          <w:color w:val="555555"/>
          <w:sz w:val="27"/>
          <w:szCs w:val="27"/>
          <w:lang w:eastAsia="ru-RU"/>
        </w:rPr>
      </w:pPr>
      <w:r w:rsidRPr="004E5772">
        <w:rPr>
          <w:rFonts w:ascii="Verdana" w:eastAsia="Times New Roman" w:hAnsi="Verdana" w:cs="Times New Roman"/>
          <w:color w:val="555555"/>
          <w:sz w:val="20"/>
          <w:szCs w:val="20"/>
          <w:lang w:val="x-none" w:eastAsia="ru-RU"/>
        </w:rPr>
        <w:t>12.10. В случае аннулирования Свидетельства об аккредитации ТОС, выданные им сертификаты соответствия, а также квалификационные аттестаты действуют до указанного в них срока. При этом, функция определения порядка контроля за деятельностью владельцев сертификатов, а также внесение изменений в реестр Системы, соответствия возлагается на РОСС.</w:t>
      </w:r>
    </w:p>
    <w:p w:rsidR="00A4124B" w:rsidRDefault="003208FE"/>
    <w:sectPr w:rsidR="00A41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72"/>
    <w:rsid w:val="003208FE"/>
    <w:rsid w:val="00370317"/>
    <w:rsid w:val="004E5772"/>
    <w:rsid w:val="00C5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5772"/>
    <w:rPr>
      <w:b/>
      <w:bCs/>
    </w:rPr>
  </w:style>
  <w:style w:type="character" w:styleId="a4">
    <w:name w:val="Hyperlink"/>
    <w:basedOn w:val="a0"/>
    <w:uiPriority w:val="99"/>
    <w:semiHidden/>
    <w:unhideWhenUsed/>
    <w:rsid w:val="004E57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5772"/>
    <w:rPr>
      <w:b/>
      <w:bCs/>
    </w:rPr>
  </w:style>
  <w:style w:type="character" w:styleId="a4">
    <w:name w:val="Hyperlink"/>
    <w:basedOn w:val="a0"/>
    <w:uiPriority w:val="99"/>
    <w:semiHidden/>
    <w:unhideWhenUsed/>
    <w:rsid w:val="004E5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la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4995</Words>
  <Characters>28478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Ковтуновская</dc:creator>
  <cp:lastModifiedBy>Sertif</cp:lastModifiedBy>
  <cp:revision>2</cp:revision>
  <dcterms:created xsi:type="dcterms:W3CDTF">2019-04-26T09:14:00Z</dcterms:created>
  <dcterms:modified xsi:type="dcterms:W3CDTF">2019-04-26T09:14:00Z</dcterms:modified>
</cp:coreProperties>
</file>